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3FD0B">
      <w:pPr>
        <w:ind w:firstLine="2249" w:firstLineChars="80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科研课题经费认领用户操作指引</w:t>
      </w:r>
    </w:p>
    <w:p w14:paraId="74D9831F">
      <w:pPr>
        <w:ind w:firstLine="3150" w:firstLineChars="1500"/>
        <w:rPr>
          <w:rFonts w:hint="eastAsia"/>
          <w:lang w:val="en-US" w:eastAsia="zh-CN"/>
        </w:rPr>
      </w:pPr>
    </w:p>
    <w:p w14:paraId="3011A7F0">
      <w:pPr>
        <w:numPr>
          <w:ilvl w:val="0"/>
          <w:numId w:val="0"/>
        </w:numPr>
      </w:pPr>
      <w:r>
        <w:rPr>
          <w:rFonts w:hint="eastAsia"/>
          <w:lang w:val="en-US" w:eastAsia="zh-CN"/>
        </w:rPr>
        <w:t xml:space="preserve">   </w:t>
      </w:r>
    </w:p>
    <w:p w14:paraId="1F433D12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进入湖南农业大学官网，输入账号、密码或通过智慧湘农APP扫码登录信息门户</w:t>
      </w:r>
    </w:p>
    <w:p w14:paraId="57A0F47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3003550"/>
            <wp:effectExtent l="0" t="0" r="1016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DAE21"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进入科研系统</w:t>
      </w:r>
    </w:p>
    <w:p w14:paraId="19703FCF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770" cy="3374390"/>
            <wp:effectExtent l="0" t="0" r="5080" b="1651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7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498E">
      <w:pPr>
        <w:numPr>
          <w:ilvl w:val="0"/>
          <w:numId w:val="0"/>
        </w:numPr>
        <w:ind w:leftChars="0"/>
      </w:pPr>
    </w:p>
    <w:p w14:paraId="62618ACC">
      <w:pPr>
        <w:numPr>
          <w:ilvl w:val="0"/>
          <w:numId w:val="0"/>
        </w:numPr>
        <w:ind w:leftChars="0"/>
      </w:pPr>
    </w:p>
    <w:p w14:paraId="4216A5A0">
      <w:pPr>
        <w:numPr>
          <w:ilvl w:val="0"/>
          <w:numId w:val="0"/>
        </w:numPr>
        <w:ind w:leftChars="0"/>
      </w:pPr>
    </w:p>
    <w:p w14:paraId="04928E02">
      <w:pPr>
        <w:numPr>
          <w:ilvl w:val="0"/>
          <w:numId w:val="0"/>
        </w:numPr>
        <w:ind w:leftChars="0"/>
      </w:pPr>
    </w:p>
    <w:p w14:paraId="1F0F1CE9">
      <w:pPr>
        <w:numPr>
          <w:ilvl w:val="0"/>
          <w:numId w:val="2"/>
        </w:numPr>
        <w:ind w:left="0" w:leftChars="0" w:firstLine="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  <w:lang w:val="en-US" w:eastAsia="zh-CN"/>
        </w:rPr>
        <w:t>科研经费认领前需在科研系统中完成立项审批</w:t>
      </w:r>
      <w:r>
        <w:rPr>
          <w:rFonts w:hint="eastAsia"/>
          <w:color w:val="auto"/>
          <w:highlight w:val="none"/>
          <w:lang w:val="en-US" w:eastAsia="zh-CN"/>
        </w:rPr>
        <w:t>。</w:t>
      </w:r>
      <w:r>
        <w:rPr>
          <w:rFonts w:hint="eastAsia"/>
          <w:highlight w:val="none"/>
          <w:lang w:val="en-US" w:eastAsia="zh-CN"/>
        </w:rPr>
        <w:t>点击右上角快捷通道纵向项目/横向项目，进入项目新增/进账合同新增页面。根据任务书/合同内容填写项目成员、预算、文档等信息完成项目登记。</w:t>
      </w:r>
    </w:p>
    <w:p w14:paraId="1CFE2D8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1689100"/>
            <wp:effectExtent l="0" t="0" r="7620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1391285"/>
            <wp:effectExtent l="0" t="0" r="11430" b="1841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9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E77A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960" cy="1113155"/>
            <wp:effectExtent l="0" t="0" r="8890" b="1079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3C8B1">
      <w:pPr>
        <w:numPr>
          <w:ilvl w:val="0"/>
          <w:numId w:val="2"/>
        </w:numPr>
        <w:ind w:left="0" w:leftChars="0" w:firstLine="0" w:firstLineChars="0"/>
      </w:pPr>
      <w:r>
        <w:rPr>
          <w:rFonts w:hint="eastAsia"/>
          <w:lang w:val="en-US" w:eastAsia="zh-CN"/>
        </w:rPr>
        <w:t>选择【入账办理/预算追加】</w:t>
      </w:r>
    </w:p>
    <w:p w14:paraId="782A29B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8595" cy="2901950"/>
            <wp:effectExtent l="0" t="0" r="8255" b="1270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A3491">
      <w:pPr>
        <w:numPr>
          <w:ilvl w:val="0"/>
          <w:numId w:val="0"/>
        </w:numPr>
        <w:ind w:leftChars="0"/>
      </w:pPr>
    </w:p>
    <w:p w14:paraId="1A3529D3">
      <w:pPr>
        <w:numPr>
          <w:ilvl w:val="0"/>
          <w:numId w:val="0"/>
        </w:numPr>
        <w:ind w:leftChars="0"/>
      </w:pPr>
    </w:p>
    <w:p w14:paraId="50ADF3EA">
      <w:pPr>
        <w:numPr>
          <w:ilvl w:val="0"/>
          <w:numId w:val="0"/>
        </w:numPr>
        <w:ind w:leftChars="0"/>
      </w:pPr>
    </w:p>
    <w:p w14:paraId="4FFDCA59"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点击左边导航栏【可认领】，根据摘要、来款单位、来款金额等信息查询，点击操作栏下对应项目的【认领】按钮进行认领。</w:t>
      </w:r>
    </w:p>
    <w:p w14:paraId="7E3D6E68">
      <w:pPr>
        <w:numPr>
          <w:ilvl w:val="0"/>
          <w:numId w:val="0"/>
        </w:numPr>
        <w:ind w:leftChars="0"/>
        <w:rPr>
          <w:rFonts w:hint="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>（认领前提条件</w:t>
      </w:r>
      <w:r>
        <w:rPr>
          <w:rFonts w:hint="eastAsia"/>
          <w:highlight w:val="none"/>
          <w:lang w:val="en-US" w:eastAsia="zh-CN"/>
        </w:rPr>
        <w:t>：待认领的项目已通过</w:t>
      </w:r>
      <w:r>
        <w:rPr>
          <w:rFonts w:hint="eastAsia"/>
          <w:b/>
          <w:bCs/>
          <w:color w:val="auto"/>
          <w:highlight w:val="none"/>
          <w:lang w:val="en-US" w:eastAsia="zh-CN"/>
        </w:rPr>
        <w:t>科技管理部门</w:t>
      </w:r>
      <w:r>
        <w:rPr>
          <w:rFonts w:hint="eastAsia"/>
          <w:highlight w:val="none"/>
          <w:lang w:val="en-US" w:eastAsia="zh-CN"/>
        </w:rPr>
        <w:t>的审核，项目状态为学校通过状态）</w:t>
      </w:r>
    </w:p>
    <w:p w14:paraId="003670A1">
      <w:pPr>
        <w:numPr>
          <w:ilvl w:val="0"/>
          <w:numId w:val="0"/>
        </w:numPr>
        <w:ind w:leftChars="0"/>
      </w:pPr>
      <w:bookmarkStart w:id="0" w:name="_Toc6450"/>
      <w:r>
        <w:drawing>
          <wp:inline distT="0" distB="0" distL="114300" distR="114300">
            <wp:extent cx="5262880" cy="1556385"/>
            <wp:effectExtent l="0" t="0" r="13970" b="571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464945"/>
            <wp:effectExtent l="0" t="0" r="5715" b="190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1540510"/>
            <wp:effectExtent l="0" t="0" r="2540" b="254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457325"/>
            <wp:effectExtent l="0" t="0" r="5080" b="952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02B87A03">
      <w:pPr>
        <w:numPr>
          <w:ilvl w:val="0"/>
          <w:numId w:val="2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纵向经费认领操作</w:t>
      </w:r>
      <w:bookmarkEnd w:id="0"/>
    </w:p>
    <w:p w14:paraId="28CBA1EB">
      <w:pPr>
        <w:numPr>
          <w:ilvl w:val="0"/>
          <w:numId w:val="0"/>
        </w:numPr>
        <w:ind w:leftChars="0"/>
        <w:rPr>
          <w:rFonts w:hint="default"/>
          <w:highlight w:val="yellow"/>
          <w:lang w:val="en-US" w:eastAsia="zh-CN"/>
        </w:rPr>
      </w:pPr>
      <w:r>
        <w:rPr>
          <w:rFonts w:hint="eastAsia"/>
          <w:lang w:val="en-US" w:eastAsia="zh-CN"/>
        </w:rPr>
        <w:t>6.1进入认领经费页面，选择需认领经费的项目，填写认领信息。</w:t>
      </w:r>
    </w:p>
    <w:p w14:paraId="3FBB3153">
      <w:pPr>
        <w:snapToGrid w:val="0"/>
        <w:spacing w:line="360" w:lineRule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556510"/>
            <wp:effectExtent l="0" t="0" r="10160" b="1524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6D7A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6.2确认信息后，点击【建卡完成，开始拆分额度】查看项目预算信息，确认预算信息后点击【提交】即可将当前入账提交至流程中。点击【保存】即可将入账暂存，可以重新编辑提交。</w:t>
      </w:r>
      <w:r>
        <w:drawing>
          <wp:inline distT="0" distB="0" distL="114300" distR="114300">
            <wp:extent cx="5266690" cy="2556510"/>
            <wp:effectExtent l="0" t="0" r="10160" b="1524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5DF2D">
      <w:pPr>
        <w:pStyle w:val="7"/>
        <w:numPr>
          <w:ilvl w:val="0"/>
          <w:numId w:val="0"/>
        </w:numPr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6690" cy="2556510"/>
            <wp:effectExtent l="0" t="0" r="10160" b="1524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77C7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59D91F9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6.3纵向暂存入账查看，点击左边导航栏【已认领】进入入账认领列表，可以查看当前已提交、暂存、通过、退回的数据。</w:t>
      </w:r>
    </w:p>
    <w:p w14:paraId="1433E64E">
      <w:pPr>
        <w:pStyle w:val="7"/>
        <w:numPr>
          <w:ilvl w:val="0"/>
          <w:numId w:val="0"/>
        </w:numPr>
        <w:snapToGrid w:val="0"/>
        <w:spacing w:line="360" w:lineRule="auto"/>
      </w:pPr>
      <w:r>
        <w:drawing>
          <wp:inline distT="0" distB="0" distL="114300" distR="114300">
            <wp:extent cx="5266690" cy="1426210"/>
            <wp:effectExtent l="0" t="0" r="10160" b="254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BEE12">
      <w:pPr>
        <w:pStyle w:val="7"/>
        <w:numPr>
          <w:ilvl w:val="0"/>
          <w:numId w:val="0"/>
        </w:numPr>
        <w:snapToGrid w:val="0"/>
        <w:spacing w:line="360" w:lineRule="auto"/>
      </w:pPr>
      <w:r>
        <w:drawing>
          <wp:inline distT="0" distB="0" distL="114300" distR="114300">
            <wp:extent cx="5266690" cy="1196340"/>
            <wp:effectExtent l="0" t="0" r="10160" b="381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9E498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/>
          <w:highlight w:val="none"/>
          <w:lang w:val="en-US" w:eastAsia="zh-CN"/>
        </w:rPr>
        <w:t>6.4已审核通过的入账，项目负责人打印专项预算申报单，签字后交科技管理部门。</w:t>
      </w:r>
    </w:p>
    <w:p w14:paraId="317AA727">
      <w:pPr>
        <w:pStyle w:val="7"/>
        <w:numPr>
          <w:ilvl w:val="0"/>
          <w:numId w:val="0"/>
        </w:numPr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6690" cy="1217930"/>
            <wp:effectExtent l="0" t="0" r="10160" b="1270"/>
            <wp:docPr id="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D240F">
      <w:pPr>
        <w:pStyle w:val="7"/>
        <w:numPr>
          <w:ilvl w:val="0"/>
          <w:numId w:val="0"/>
        </w:numPr>
        <w:snapToGrid w:val="0"/>
        <w:spacing w:line="360" w:lineRule="auto"/>
        <w:rPr>
          <w:rFonts w:hint="eastAsia"/>
        </w:rPr>
      </w:pPr>
      <w:r>
        <w:drawing>
          <wp:inline distT="0" distB="0" distL="114300" distR="114300">
            <wp:extent cx="5271770" cy="4725670"/>
            <wp:effectExtent l="0" t="0" r="5080" b="17780"/>
            <wp:docPr id="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EBA53">
      <w:pPr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横向经费认领操作（认领前确认在科研系统中立项、盖章合同归档及发票等信息上传）</w:t>
      </w:r>
    </w:p>
    <w:p w14:paraId="2BDBE06A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lang w:val="en-US" w:eastAsia="zh-CN"/>
        </w:rPr>
        <w:t>7.1</w:t>
      </w:r>
      <w:r>
        <w:rPr>
          <w:rFonts w:hint="eastAsia"/>
          <w:color w:val="auto"/>
          <w:highlight w:val="none"/>
          <w:lang w:val="en-US" w:eastAsia="zh-CN"/>
        </w:rPr>
        <w:t>进入认领经费页面，选择需认领经费的项目，填写认领信息，横向项目每次入账为项目到账追加（</w:t>
      </w:r>
      <w:r>
        <w:rPr>
          <w:rFonts w:hint="eastAsia"/>
          <w:b/>
          <w:bCs/>
          <w:color w:val="auto"/>
          <w:highlight w:val="none"/>
          <w:lang w:val="en-US" w:eastAsia="zh-CN"/>
        </w:rPr>
        <w:t>选择“横向通用（留校经费*7.5%”）的，一般均选择“总额追拨”；2025年以前入账选择“实拨资金追拨”或“总额追拨”的要与第一次路径保持一致）</w:t>
      </w:r>
      <w:r>
        <w:rPr>
          <w:rFonts w:hint="eastAsia"/>
          <w:color w:val="auto"/>
          <w:highlight w:val="none"/>
          <w:lang w:val="en-US" w:eastAsia="zh-CN"/>
        </w:rPr>
        <w:t>，即每次入账需追加入账预算，完善项目信息及认领信息后，点击【建卡完成，开始拆分额度】。同时注意，</w:t>
      </w:r>
      <w:r>
        <w:rPr>
          <w:rFonts w:hint="eastAsia"/>
          <w:b/>
          <w:bCs/>
          <w:color w:val="auto"/>
          <w:highlight w:val="none"/>
          <w:lang w:val="en-US" w:eastAsia="zh-CN"/>
        </w:rPr>
        <w:t>绩效比例、外协费比例</w:t>
      </w:r>
      <w:r>
        <w:rPr>
          <w:rFonts w:hint="eastAsia"/>
          <w:color w:val="auto"/>
          <w:highlight w:val="none"/>
          <w:lang w:val="en-US" w:eastAsia="zh-CN"/>
        </w:rPr>
        <w:t>根据《横向科研项目管理办法》执行；合同中无“外协费”相关明确表述的，若需开支外协费则须签订《补充协议》后方可办理。</w:t>
      </w:r>
    </w:p>
    <w:p w14:paraId="68CB510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 xml:space="preserve">     </w:t>
      </w:r>
      <w:r>
        <w:rPr>
          <w:rFonts w:hint="eastAsia"/>
          <w:b/>
          <w:bCs/>
          <w:color w:val="auto"/>
          <w:highlight w:val="none"/>
          <w:lang w:val="en-US" w:eastAsia="zh-CN"/>
        </w:rPr>
        <w:t>选择科技服务收入入账即（“1:2:7”）方式的</w:t>
      </w:r>
      <w:r>
        <w:rPr>
          <w:rFonts w:hint="eastAsia"/>
          <w:color w:val="auto"/>
          <w:highlight w:val="none"/>
          <w:lang w:val="en-US" w:eastAsia="zh-CN"/>
        </w:rPr>
        <w:t>，填写《科技服务收入分配申请表（2025版）》，按照相关流程办理，不另在科研系统办理线上认领及预算。</w:t>
      </w:r>
    </w:p>
    <w:p w14:paraId="2C5EDF3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rFonts w:hint="default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 xml:space="preserve">      </w:t>
      </w:r>
    </w:p>
    <w:p w14:paraId="412E60FC">
      <w:pPr>
        <w:snapToGrid w:val="0"/>
        <w:spacing w:line="360" w:lineRule="auto"/>
        <w:rPr>
          <w:rFonts w:hint="eastAsia" w:eastAsia="宋体"/>
          <w:b/>
          <w:bCs/>
          <w:color w:val="FF0000"/>
          <w:lang w:eastAsia="zh-CN"/>
        </w:rPr>
      </w:pPr>
      <w:r>
        <w:rPr>
          <w:color w:val="FF0000"/>
        </w:rPr>
        <w:drawing>
          <wp:inline distT="0" distB="0" distL="114300" distR="114300">
            <wp:extent cx="5266690" cy="2556510"/>
            <wp:effectExtent l="0" t="0" r="10160" b="15240"/>
            <wp:docPr id="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5147B">
      <w:pPr>
        <w:numPr>
          <w:ilvl w:val="0"/>
          <w:numId w:val="0"/>
        </w:numPr>
        <w:ind w:left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7.2根据实际情况拆分入账额度，确认追加入账金额等于拆分金额即可，其中横向合同金额少于5万的不扣管理费，超过5万的横向合同按照到账（扣除外协费）的7.5%提扣管理费，确认完成后点击提交。</w:t>
      </w:r>
    </w:p>
    <w:p w14:paraId="1272AE1A">
      <w:pPr>
        <w:pStyle w:val="7"/>
        <w:numPr>
          <w:ilvl w:val="0"/>
          <w:numId w:val="0"/>
        </w:numPr>
        <w:snapToGrid w:val="0"/>
        <w:spacing w:line="360" w:lineRule="auto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5266690" cy="2556510"/>
            <wp:effectExtent l="0" t="0" r="10160" b="15240"/>
            <wp:docPr id="1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53FA6">
      <w:pPr>
        <w:pStyle w:val="7"/>
        <w:numPr>
          <w:ilvl w:val="0"/>
          <w:numId w:val="0"/>
        </w:numPr>
        <w:snapToGrid w:val="0"/>
        <w:spacing w:line="360" w:lineRule="auto"/>
        <w:rPr>
          <w:rFonts w:hint="eastAsia"/>
          <w:color w:val="FF0000"/>
        </w:rPr>
      </w:pPr>
      <w:r>
        <w:rPr>
          <w:color w:val="FF0000"/>
        </w:rPr>
        <w:drawing>
          <wp:inline distT="0" distB="0" distL="114300" distR="114300">
            <wp:extent cx="5266690" cy="2556510"/>
            <wp:effectExtent l="0" t="0" r="10160" b="15240"/>
            <wp:docPr id="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9B204">
      <w:pPr>
        <w:numPr>
          <w:ilvl w:val="0"/>
          <w:numId w:val="0"/>
        </w:numPr>
        <w:ind w:leftChars="0"/>
        <w:rPr>
          <w:rFonts w:hint="eastAsia"/>
          <w:color w:val="FF0000"/>
          <w:lang w:val="en-US" w:eastAsia="zh-CN"/>
        </w:rPr>
      </w:pPr>
    </w:p>
    <w:p w14:paraId="4BB7019B">
      <w:pPr>
        <w:numPr>
          <w:ilvl w:val="0"/>
          <w:numId w:val="0"/>
        </w:numPr>
        <w:ind w:leftChars="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7.3横向项目入账查看，点击左边导航栏【已认领】进入入账认领列表，可以查看当前已提交、暂存、通过、退回的数据。</w:t>
      </w:r>
    </w:p>
    <w:p w14:paraId="0A075BD1">
      <w:pPr>
        <w:pStyle w:val="7"/>
        <w:numPr>
          <w:ilvl w:val="0"/>
          <w:numId w:val="0"/>
        </w:numPr>
        <w:snapToGrid w:val="0"/>
        <w:spacing w:line="360" w:lineRule="auto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5266690" cy="1426210"/>
            <wp:effectExtent l="0" t="0" r="10160" b="2540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405B6">
      <w:pPr>
        <w:pStyle w:val="7"/>
        <w:numPr>
          <w:ilvl w:val="0"/>
          <w:numId w:val="0"/>
        </w:numPr>
        <w:snapToGrid w:val="0"/>
        <w:spacing w:line="360" w:lineRule="auto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5266690" cy="1196340"/>
            <wp:effectExtent l="0" t="0" r="10160" b="3810"/>
            <wp:docPr id="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88B5B">
      <w:pPr>
        <w:numPr>
          <w:ilvl w:val="0"/>
          <w:numId w:val="0"/>
        </w:numPr>
        <w:ind w:leftChars="0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7.4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预算申报提交。横向项目完成经费认领、</w:t>
      </w:r>
      <w:r>
        <w:rPr>
          <w:rFonts w:hint="eastAsia"/>
          <w:color w:val="auto"/>
          <w:highlight w:val="none"/>
          <w:lang w:val="en-US" w:eastAsia="zh-CN"/>
        </w:rPr>
        <w:t>在收到科技管理部门审核通过推送的信息后，打印专项预算申报单，按照要求签字审核后提交计财处财务管理科。</w:t>
      </w:r>
    </w:p>
    <w:p w14:paraId="336E8F0F">
      <w:pPr>
        <w:pStyle w:val="7"/>
        <w:numPr>
          <w:ilvl w:val="0"/>
          <w:numId w:val="0"/>
        </w:numPr>
        <w:snapToGrid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color w:val="FF0000"/>
        </w:rPr>
        <w:drawing>
          <wp:inline distT="0" distB="0" distL="114300" distR="114300">
            <wp:extent cx="5266690" cy="1217930"/>
            <wp:effectExtent l="0" t="0" r="10160" b="1270"/>
            <wp:docPr id="2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C2237">
      <w:pPr>
        <w:pStyle w:val="7"/>
        <w:numPr>
          <w:ilvl w:val="0"/>
          <w:numId w:val="0"/>
        </w:numPr>
        <w:snapToGrid w:val="0"/>
        <w:spacing w:line="360" w:lineRule="auto"/>
        <w:rPr>
          <w:rFonts w:hint="eastAsia"/>
        </w:rPr>
      </w:pPr>
      <w:r>
        <w:drawing>
          <wp:inline distT="0" distB="0" distL="114300" distR="114300">
            <wp:extent cx="5271770" cy="4725670"/>
            <wp:effectExtent l="0" t="0" r="5080" b="17780"/>
            <wp:docPr id="2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72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37E4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FFDA76"/>
    <w:multiLevelType w:val="multilevel"/>
    <w:tmpl w:val="85FFDA76"/>
    <w:lvl w:ilvl="0" w:tentative="0">
      <w:start w:val="1"/>
      <w:numFmt w:val="decimal"/>
      <w:pStyle w:val="3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420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420"/>
        </w:tabs>
        <w:ind w:left="567" w:hanging="567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B4BB01ED"/>
    <w:multiLevelType w:val="singleLevel"/>
    <w:tmpl w:val="B4BB01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408C4"/>
    <w:rsid w:val="051E41F2"/>
    <w:rsid w:val="060F2843"/>
    <w:rsid w:val="0902043D"/>
    <w:rsid w:val="0C032502"/>
    <w:rsid w:val="114E06C3"/>
    <w:rsid w:val="118D02AC"/>
    <w:rsid w:val="120B3B89"/>
    <w:rsid w:val="128E074B"/>
    <w:rsid w:val="134A2A4A"/>
    <w:rsid w:val="16BA0FB8"/>
    <w:rsid w:val="16DA5254"/>
    <w:rsid w:val="1BDC68CC"/>
    <w:rsid w:val="1D0A6688"/>
    <w:rsid w:val="22AE6FE9"/>
    <w:rsid w:val="29986C4B"/>
    <w:rsid w:val="31FB1D2B"/>
    <w:rsid w:val="32762B37"/>
    <w:rsid w:val="33617030"/>
    <w:rsid w:val="34193DE2"/>
    <w:rsid w:val="345867BA"/>
    <w:rsid w:val="3CF66E12"/>
    <w:rsid w:val="3F397A0D"/>
    <w:rsid w:val="41C408C4"/>
    <w:rsid w:val="436808C1"/>
    <w:rsid w:val="49A35DA4"/>
    <w:rsid w:val="4C74370B"/>
    <w:rsid w:val="4CE43A1F"/>
    <w:rsid w:val="4E824F2D"/>
    <w:rsid w:val="4F7713C7"/>
    <w:rsid w:val="540C463B"/>
    <w:rsid w:val="59613A81"/>
    <w:rsid w:val="6489376D"/>
    <w:rsid w:val="665467C9"/>
    <w:rsid w:val="66C74EF5"/>
    <w:rsid w:val="6AB75B07"/>
    <w:rsid w:val="70763C4A"/>
    <w:rsid w:val="72601F29"/>
    <w:rsid w:val="76E1720A"/>
    <w:rsid w:val="7D24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9"/>
    <w:pPr>
      <w:keepNext/>
      <w:keepLines/>
      <w:numPr>
        <w:ilvl w:val="0"/>
        <w:numId w:val="1"/>
      </w:numPr>
      <w:spacing w:before="260" w:beforeLines="0" w:beforeAutospacing="0" w:after="260" w:afterLines="0" w:afterAutospacing="0" w:line="413" w:lineRule="auto"/>
      <w:ind w:left="709" w:hanging="709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993</Words>
  <Characters>1028</Characters>
  <Lines>0</Lines>
  <Paragraphs>0</Paragraphs>
  <TotalTime>0</TotalTime>
  <ScaleCrop>false</ScaleCrop>
  <LinksUpToDate>false</LinksUpToDate>
  <CharactersWithSpaces>1042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2026-09-16T15:18:00Z</dcterms:created>
  <dc:creator>哼哼唧唧</dc:creator>
  <cp:lastModifiedBy>胡噜噜</cp:lastModifiedBy>
  <dcterms:modified xsi:type="dcterms:W3CDTF">2026-10-27T03:53:42Z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A75DFB3DE34E4A3087DB7C3B90D39408_13</vt:lpwstr>
  </property>
  <property fmtid="{D5CDD505-2E9C-101B-9397-08002B2CF9AE}" pid="4" name="KSOTemplateDocerSaveRecord">
    <vt:lpwstr>eyJoZGlkIjoiOWJkMzEwZDhmYmM0YjIxNzEyYjBmN2E5NmI0NDM4MGMiLCJ1c2VySWQiOiI0Mzg4OTc2MjYifQ==</vt:lpwstr>
  </property>
</Properties>
</file>